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528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2610B7">
        <w:tc>
          <w:tcPr>
            <w:tcW w:w="5528" w:type="dxa"/>
          </w:tcPr>
          <w:p w:rsidR="002610B7" w:rsidRDefault="005159EA">
            <w:pPr>
              <w:spacing w:before="6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Утвержден</w:t>
            </w:r>
            <w:proofErr w:type="spellEnd"/>
          </w:p>
          <w:p w:rsidR="002610B7" w:rsidRDefault="005159EA">
            <w:pPr>
              <w:spacing w:before="6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коллегиального органа управления по внутреннему</w:t>
            </w:r>
            <w:r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обеспечению соответствия</w:t>
            </w:r>
          </w:p>
          <w:p w:rsidR="002610B7" w:rsidRDefault="005159EA">
            <w:pPr>
              <w:ind w:right="7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требованиям </w:t>
            </w:r>
            <w:r>
              <w:rPr>
                <w:w w:val="120"/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нтимонопольного законодательства</w:t>
            </w:r>
          </w:p>
          <w:p w:rsidR="002610B7" w:rsidRDefault="002610B7">
            <w:pPr>
              <w:ind w:right="737"/>
              <w:rPr>
                <w:w w:val="120"/>
                <w:sz w:val="28"/>
                <w:szCs w:val="28"/>
                <w:lang w:val="ru-RU"/>
              </w:rPr>
            </w:pPr>
          </w:p>
          <w:p w:rsidR="002610B7" w:rsidRDefault="005159EA">
            <w:pPr>
              <w:ind w:right="737"/>
              <w:rPr>
                <w:w w:val="120"/>
                <w:sz w:val="28"/>
                <w:szCs w:val="28"/>
                <w:lang w:val="ru-RU"/>
              </w:rPr>
            </w:pPr>
            <w:r>
              <w:rPr>
                <w:w w:val="120"/>
                <w:sz w:val="28"/>
                <w:szCs w:val="28"/>
                <w:lang w:val="ru-RU"/>
              </w:rPr>
              <w:t xml:space="preserve">_____________  </w:t>
            </w:r>
            <w:proofErr w:type="spellStart"/>
            <w:r>
              <w:rPr>
                <w:w w:val="120"/>
                <w:sz w:val="28"/>
                <w:szCs w:val="28"/>
                <w:lang w:val="ru-RU"/>
              </w:rPr>
              <w:t>А.С.Корнилов</w:t>
            </w:r>
            <w:proofErr w:type="spellEnd"/>
          </w:p>
          <w:p w:rsidR="002610B7" w:rsidRDefault="005159EA" w:rsidP="00F01DD8">
            <w:pPr>
              <w:spacing w:before="6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</w:t>
            </w:r>
            <w:r>
              <w:rPr>
                <w:sz w:val="28"/>
                <w:szCs w:val="28"/>
                <w:u w:val="single"/>
                <w:lang w:val="ru-RU"/>
              </w:rPr>
              <w:t>0</w:t>
            </w:r>
            <w:r w:rsidR="00F01DD8">
              <w:rPr>
                <w:sz w:val="28"/>
                <w:szCs w:val="28"/>
                <w:u w:val="single"/>
                <w:lang w:val="ru-RU"/>
              </w:rPr>
              <w:t xml:space="preserve">9 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февраля</w:t>
            </w:r>
            <w:r w:rsidR="00F01DD8">
              <w:rPr>
                <w:sz w:val="28"/>
                <w:szCs w:val="28"/>
                <w:u w:val="single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 202</w:t>
            </w:r>
            <w:r w:rsidR="00F01DD8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г.</w:t>
            </w:r>
          </w:p>
        </w:tc>
      </w:tr>
    </w:tbl>
    <w:p w:rsidR="002610B7" w:rsidRDefault="002610B7">
      <w:pPr>
        <w:spacing w:before="68"/>
        <w:ind w:left="6592"/>
        <w:rPr>
          <w:sz w:val="28"/>
          <w:szCs w:val="28"/>
          <w:lang w:val="ru-RU"/>
        </w:rPr>
      </w:pPr>
    </w:p>
    <w:p w:rsidR="002610B7" w:rsidRDefault="002610B7">
      <w:pPr>
        <w:spacing w:before="68"/>
        <w:ind w:left="6592"/>
        <w:rPr>
          <w:sz w:val="28"/>
          <w:szCs w:val="28"/>
          <w:lang w:val="ru-RU"/>
        </w:rPr>
      </w:pPr>
    </w:p>
    <w:p w:rsidR="002610B7" w:rsidRDefault="005159EA">
      <w:pPr>
        <w:spacing w:line="254" w:lineRule="auto"/>
        <w:ind w:left="734" w:right="801" w:hanging="8"/>
        <w:jc w:val="center"/>
        <w:rPr>
          <w:b/>
          <w:w w:val="105"/>
          <w:sz w:val="30"/>
          <w:lang w:val="ru-RU"/>
        </w:rPr>
      </w:pPr>
      <w:r>
        <w:rPr>
          <w:b/>
          <w:w w:val="105"/>
          <w:sz w:val="30"/>
          <w:lang w:val="ru-RU"/>
        </w:rPr>
        <w:t xml:space="preserve">Доклад </w:t>
      </w:r>
    </w:p>
    <w:p w:rsidR="002610B7" w:rsidRDefault="005159EA">
      <w:pPr>
        <w:spacing w:line="254" w:lineRule="auto"/>
        <w:ind w:left="734" w:right="801" w:hanging="8"/>
        <w:jc w:val="center"/>
        <w:rPr>
          <w:b/>
          <w:sz w:val="30"/>
          <w:lang w:val="ru-RU"/>
        </w:rPr>
      </w:pPr>
      <w:r>
        <w:rPr>
          <w:b/>
          <w:w w:val="105"/>
          <w:sz w:val="30"/>
          <w:lang w:val="ru-RU"/>
        </w:rPr>
        <w:t xml:space="preserve">управления сельского хозяйства администрации Богородского муниципального округа Нижегородской области об антимонопольном </w:t>
      </w:r>
      <w:proofErr w:type="spellStart"/>
      <w:r>
        <w:rPr>
          <w:b/>
          <w:w w:val="105"/>
          <w:sz w:val="30"/>
          <w:lang w:val="ru-RU"/>
        </w:rPr>
        <w:t>комплаенсе</w:t>
      </w:r>
      <w:proofErr w:type="spellEnd"/>
      <w:r>
        <w:rPr>
          <w:b/>
          <w:w w:val="105"/>
          <w:sz w:val="30"/>
          <w:lang w:val="ru-RU"/>
        </w:rPr>
        <w:t xml:space="preserve"> за 202</w:t>
      </w:r>
      <w:r w:rsidR="00F01DD8">
        <w:rPr>
          <w:b/>
          <w:w w:val="105"/>
          <w:sz w:val="30"/>
          <w:lang w:val="ru-RU"/>
        </w:rPr>
        <w:t>5</w:t>
      </w:r>
      <w:r>
        <w:rPr>
          <w:b/>
          <w:w w:val="105"/>
          <w:sz w:val="30"/>
          <w:lang w:val="ru-RU"/>
        </w:rPr>
        <w:t xml:space="preserve"> г.</w:t>
      </w:r>
    </w:p>
    <w:p w:rsidR="002610B7" w:rsidRDefault="002610B7">
      <w:pPr>
        <w:pStyle w:val="2"/>
        <w:spacing w:before="200" w:line="256" w:lineRule="auto"/>
        <w:ind w:right="382" w:hanging="17"/>
        <w:jc w:val="center"/>
        <w:rPr>
          <w:w w:val="105"/>
          <w:sz w:val="16"/>
          <w:szCs w:val="16"/>
          <w:lang w:val="ru-RU"/>
        </w:rPr>
      </w:pPr>
    </w:p>
    <w:p w:rsidR="002610B7" w:rsidRDefault="005159EA">
      <w:pPr>
        <w:pStyle w:val="2"/>
        <w:spacing w:before="200" w:line="256" w:lineRule="auto"/>
        <w:ind w:right="382" w:hanging="17"/>
        <w:jc w:val="center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Раздел 1. Общие сведения о функционировании антимонопольного </w:t>
      </w:r>
      <w:proofErr w:type="spellStart"/>
      <w:r>
        <w:rPr>
          <w:w w:val="105"/>
          <w:sz w:val="28"/>
          <w:szCs w:val="28"/>
          <w:lang w:val="ru-RU"/>
        </w:rPr>
        <w:t>комплаенса</w:t>
      </w:r>
      <w:proofErr w:type="spellEnd"/>
      <w:r>
        <w:rPr>
          <w:w w:val="105"/>
          <w:sz w:val="28"/>
          <w:szCs w:val="28"/>
          <w:lang w:val="ru-RU"/>
        </w:rPr>
        <w:t xml:space="preserve"> в министерстве сельского хозяйства и продовольственных ресурсов Нижегородской области </w:t>
      </w:r>
      <w:proofErr w:type="gramStart"/>
      <w:r>
        <w:rPr>
          <w:w w:val="105"/>
          <w:sz w:val="28"/>
          <w:szCs w:val="28"/>
          <w:lang w:val="ru-RU"/>
        </w:rPr>
        <w:t>об</w:t>
      </w:r>
      <w:proofErr w:type="gramEnd"/>
      <w:r>
        <w:rPr>
          <w:w w:val="105"/>
          <w:sz w:val="28"/>
          <w:szCs w:val="28"/>
          <w:lang w:val="ru-RU"/>
        </w:rPr>
        <w:t xml:space="preserve"> антимонопольном</w:t>
      </w:r>
      <w:r>
        <w:rPr>
          <w:spacing w:val="65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комплаенсе</w:t>
      </w:r>
      <w:proofErr w:type="spellEnd"/>
    </w:p>
    <w:p w:rsidR="002610B7" w:rsidRDefault="002610B7">
      <w:pPr>
        <w:pStyle w:val="a3"/>
        <w:rPr>
          <w:b/>
          <w:sz w:val="28"/>
          <w:lang w:val="ru-RU"/>
        </w:rPr>
      </w:pPr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  В целях организации и функционирования антимонопольного </w:t>
      </w:r>
      <w:proofErr w:type="spellStart"/>
      <w:r>
        <w:rPr>
          <w:w w:val="105"/>
          <w:sz w:val="28"/>
          <w:szCs w:val="28"/>
          <w:lang w:val="ru-RU"/>
        </w:rPr>
        <w:t>комплаенса</w:t>
      </w:r>
      <w:proofErr w:type="spellEnd"/>
      <w:r>
        <w:rPr>
          <w:w w:val="105"/>
          <w:sz w:val="28"/>
          <w:szCs w:val="28"/>
          <w:lang w:val="ru-RU"/>
        </w:rPr>
        <w:t xml:space="preserve"> в управлении утверждены:</w:t>
      </w:r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  Система внутреннего обеспечения соответствия требованиям антимонопольного законодательства (антимонопольный </w:t>
      </w:r>
      <w:proofErr w:type="spellStart"/>
      <w:r>
        <w:rPr>
          <w:w w:val="105"/>
          <w:sz w:val="28"/>
          <w:szCs w:val="28"/>
          <w:lang w:val="ru-RU"/>
        </w:rPr>
        <w:t>комплаенс</w:t>
      </w:r>
      <w:proofErr w:type="spellEnd"/>
      <w:r>
        <w:rPr>
          <w:w w:val="105"/>
          <w:sz w:val="28"/>
          <w:szCs w:val="28"/>
          <w:lang w:val="ru-RU"/>
        </w:rPr>
        <w:t xml:space="preserve">) в </w:t>
      </w:r>
      <w:bookmarkStart w:id="0" w:name="_Hlk126852899"/>
      <w:r>
        <w:rPr>
          <w:w w:val="105"/>
          <w:sz w:val="28"/>
          <w:szCs w:val="28"/>
          <w:lang w:val="ru-RU"/>
        </w:rPr>
        <w:t xml:space="preserve">управлении сельского хозяйства администрации Богородского муниципального округа Нижегородской области» </w:t>
      </w:r>
      <w:bookmarkEnd w:id="0"/>
      <w:r>
        <w:rPr>
          <w:w w:val="105"/>
          <w:sz w:val="28"/>
          <w:szCs w:val="28"/>
          <w:lang w:val="ru-RU"/>
        </w:rPr>
        <w:t>(приказ от 29.06.2022 № 22);</w:t>
      </w:r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bookmarkStart w:id="1" w:name="_Hlk126931709"/>
      <w:r>
        <w:rPr>
          <w:w w:val="105"/>
          <w:sz w:val="28"/>
          <w:szCs w:val="28"/>
          <w:lang w:val="ru-RU"/>
        </w:rPr>
        <w:t xml:space="preserve">      - Карта рисков нарушения антимонопольного законодательства </w:t>
      </w:r>
      <w:proofErr w:type="gramStart"/>
      <w:r>
        <w:rPr>
          <w:w w:val="105"/>
          <w:sz w:val="28"/>
          <w:szCs w:val="28"/>
          <w:lang w:val="ru-RU"/>
        </w:rPr>
        <w:t>управлении</w:t>
      </w:r>
      <w:proofErr w:type="gramEnd"/>
      <w:r>
        <w:rPr>
          <w:w w:val="105"/>
          <w:sz w:val="28"/>
          <w:szCs w:val="28"/>
          <w:lang w:val="ru-RU"/>
        </w:rPr>
        <w:t xml:space="preserve"> сельского хозяйства администрации Богородского муниципального округа Нижегородской области (</w:t>
      </w:r>
      <w:bookmarkStart w:id="2" w:name="_Hlk126853024"/>
      <w:r>
        <w:rPr>
          <w:w w:val="105"/>
          <w:sz w:val="28"/>
          <w:szCs w:val="28"/>
          <w:lang w:val="ru-RU"/>
        </w:rPr>
        <w:t>приказ от 2</w:t>
      </w:r>
      <w:r w:rsidR="00F01DD8">
        <w:rPr>
          <w:w w:val="105"/>
          <w:sz w:val="28"/>
          <w:szCs w:val="28"/>
          <w:lang w:val="ru-RU"/>
        </w:rPr>
        <w:t>8</w:t>
      </w:r>
      <w:r>
        <w:rPr>
          <w:w w:val="105"/>
          <w:sz w:val="28"/>
          <w:szCs w:val="28"/>
          <w:lang w:val="ru-RU"/>
        </w:rPr>
        <w:t>.12.202</w:t>
      </w:r>
      <w:r w:rsidR="00F01DD8">
        <w:rPr>
          <w:w w:val="105"/>
          <w:sz w:val="28"/>
          <w:szCs w:val="28"/>
          <w:lang w:val="ru-RU"/>
        </w:rPr>
        <w:t>4</w:t>
      </w:r>
      <w:r>
        <w:rPr>
          <w:w w:val="105"/>
          <w:sz w:val="28"/>
          <w:szCs w:val="28"/>
          <w:lang w:val="ru-RU"/>
        </w:rPr>
        <w:t xml:space="preserve"> №</w:t>
      </w:r>
      <w:r>
        <w:rPr>
          <w:spacing w:val="-2"/>
          <w:w w:val="105"/>
          <w:sz w:val="28"/>
          <w:szCs w:val="28"/>
          <w:lang w:val="ru-RU"/>
        </w:rPr>
        <w:t xml:space="preserve"> </w:t>
      </w:r>
      <w:bookmarkEnd w:id="2"/>
      <w:r>
        <w:rPr>
          <w:spacing w:val="-2"/>
          <w:w w:val="105"/>
          <w:sz w:val="28"/>
          <w:szCs w:val="28"/>
          <w:lang w:val="ru-RU"/>
        </w:rPr>
        <w:t>5</w:t>
      </w:r>
      <w:r w:rsidR="00F01DD8">
        <w:rPr>
          <w:spacing w:val="-2"/>
          <w:w w:val="105"/>
          <w:sz w:val="28"/>
          <w:szCs w:val="28"/>
          <w:lang w:val="ru-RU"/>
        </w:rPr>
        <w:t>4</w:t>
      </w:r>
      <w:r>
        <w:rPr>
          <w:w w:val="105"/>
          <w:sz w:val="28"/>
          <w:szCs w:val="28"/>
          <w:lang w:val="ru-RU"/>
        </w:rPr>
        <w:t>);</w:t>
      </w:r>
    </w:p>
    <w:bookmarkEnd w:id="1"/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-  План</w:t>
      </w:r>
      <w:r>
        <w:rPr>
          <w:w w:val="105"/>
          <w:sz w:val="28"/>
          <w:szCs w:val="28"/>
          <w:lang w:val="ru-RU"/>
        </w:rPr>
        <w:tab/>
        <w:t>мероприятий</w:t>
      </w:r>
      <w:r>
        <w:rPr>
          <w:w w:val="105"/>
          <w:sz w:val="28"/>
          <w:szCs w:val="28"/>
          <w:lang w:val="ru-RU"/>
        </w:rPr>
        <w:tab/>
        <w:t>(«дорожная</w:t>
      </w:r>
      <w:r>
        <w:rPr>
          <w:w w:val="105"/>
          <w:sz w:val="28"/>
          <w:szCs w:val="28"/>
          <w:lang w:val="ru-RU"/>
        </w:rPr>
        <w:tab/>
        <w:t>карта»)</w:t>
      </w:r>
      <w:r>
        <w:rPr>
          <w:w w:val="105"/>
          <w:sz w:val="28"/>
          <w:szCs w:val="28"/>
          <w:lang w:val="ru-RU"/>
        </w:rPr>
        <w:tab/>
        <w:t>по</w:t>
      </w:r>
      <w:r>
        <w:rPr>
          <w:w w:val="105"/>
          <w:sz w:val="28"/>
          <w:szCs w:val="28"/>
          <w:lang w:val="ru-RU"/>
        </w:rPr>
        <w:tab/>
        <w:t xml:space="preserve">снижению рисков нарушения   антимонопольного   законодательства   (приказ от  </w:t>
      </w:r>
      <w:r w:rsidR="00F01DD8">
        <w:rPr>
          <w:w w:val="105"/>
          <w:sz w:val="28"/>
          <w:szCs w:val="28"/>
          <w:lang w:val="ru-RU"/>
        </w:rPr>
        <w:t>28.12.2024 №</w:t>
      </w:r>
      <w:r w:rsidR="00F01DD8">
        <w:rPr>
          <w:spacing w:val="-2"/>
          <w:w w:val="105"/>
          <w:sz w:val="28"/>
          <w:szCs w:val="28"/>
          <w:lang w:val="ru-RU"/>
        </w:rPr>
        <w:t xml:space="preserve"> 54</w:t>
      </w:r>
      <w:r>
        <w:rPr>
          <w:w w:val="105"/>
          <w:sz w:val="28"/>
          <w:szCs w:val="28"/>
          <w:lang w:val="ru-RU"/>
        </w:rPr>
        <w:t>);</w:t>
      </w:r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Перечень ключевых показателей эффективности функционирования антимонопольного </w:t>
      </w:r>
      <w:proofErr w:type="spellStart"/>
      <w:r>
        <w:rPr>
          <w:w w:val="105"/>
          <w:sz w:val="28"/>
          <w:szCs w:val="28"/>
          <w:lang w:val="ru-RU"/>
        </w:rPr>
        <w:t>комплаенса</w:t>
      </w:r>
      <w:proofErr w:type="spellEnd"/>
      <w:r>
        <w:rPr>
          <w:w w:val="105"/>
          <w:sz w:val="28"/>
          <w:szCs w:val="28"/>
          <w:lang w:val="ru-RU"/>
        </w:rPr>
        <w:t xml:space="preserve"> в управлении сельского хозяйства администрации Богородского муниципального округа Нижегородской области» (приказ </w:t>
      </w:r>
      <w:r w:rsidRPr="00DC5ABA">
        <w:rPr>
          <w:w w:val="105"/>
          <w:sz w:val="28"/>
          <w:szCs w:val="28"/>
          <w:lang w:val="ru-RU"/>
        </w:rPr>
        <w:t>от 29.06.2022 № 22);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 Все документы размещены на официальном сайте администрации Богородского муниципального округа Нижегородской области в сети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«Интернет» в разделе</w:t>
      </w:r>
      <w:r>
        <w:rPr>
          <w:w w:val="105"/>
          <w:sz w:val="28"/>
          <w:szCs w:val="28"/>
          <w:lang w:val="ru-RU"/>
        </w:rPr>
        <w:tab/>
        <w:t>«Сельское хозяйство»</w:t>
      </w:r>
      <w:r>
        <w:rPr>
          <w:w w:val="105"/>
          <w:sz w:val="28"/>
          <w:szCs w:val="28"/>
          <w:lang w:val="ru-RU"/>
        </w:rPr>
        <w:tab/>
      </w:r>
    </w:p>
    <w:p w:rsidR="002610B7" w:rsidRDefault="002610B7">
      <w:pPr>
        <w:pStyle w:val="a3"/>
        <w:rPr>
          <w:rFonts w:ascii="Arial"/>
          <w:i/>
          <w:sz w:val="20"/>
          <w:lang w:val="ru-RU"/>
        </w:rPr>
      </w:pPr>
    </w:p>
    <w:p w:rsidR="002610B7" w:rsidRDefault="002610B7">
      <w:pPr>
        <w:pStyle w:val="a3"/>
        <w:spacing w:before="1"/>
        <w:rPr>
          <w:rFonts w:ascii="Arial"/>
          <w:i/>
          <w:sz w:val="24"/>
          <w:lang w:val="ru-RU"/>
        </w:rPr>
      </w:pPr>
    </w:p>
    <w:p w:rsidR="002610B7" w:rsidRDefault="002610B7">
      <w:pPr>
        <w:pStyle w:val="a3"/>
        <w:spacing w:before="1"/>
        <w:rPr>
          <w:rFonts w:ascii="Arial"/>
          <w:i/>
          <w:sz w:val="24"/>
          <w:lang w:val="ru-RU"/>
        </w:rPr>
      </w:pPr>
    </w:p>
    <w:p w:rsidR="002610B7" w:rsidRDefault="005159EA">
      <w:pPr>
        <w:pStyle w:val="2"/>
        <w:spacing w:line="259" w:lineRule="auto"/>
        <w:ind w:left="1749"/>
        <w:jc w:val="center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lastRenderedPageBreak/>
        <w:t>Раздел 2. Информация о проведении выявления и оценки рисков нарушения антимонопольного законодательства</w:t>
      </w:r>
    </w:p>
    <w:p w:rsidR="002610B7" w:rsidRDefault="002610B7">
      <w:pPr>
        <w:pStyle w:val="2"/>
        <w:spacing w:line="259" w:lineRule="auto"/>
        <w:ind w:left="1749"/>
        <w:rPr>
          <w:lang w:val="ru-RU"/>
        </w:rPr>
      </w:pPr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r>
        <w:rPr>
          <w:bCs/>
          <w:w w:val="105"/>
          <w:sz w:val="28"/>
          <w:szCs w:val="28"/>
          <w:lang w:val="ru-RU"/>
        </w:rPr>
        <w:t xml:space="preserve">     В</w:t>
      </w:r>
      <w:r>
        <w:rPr>
          <w:rFonts w:ascii="Arial" w:hAnsi="Arial"/>
          <w:b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целях выявления рисков нарушения антимонопольного законодательства в управлении</w:t>
      </w:r>
      <w:r>
        <w:rPr>
          <w:spacing w:val="4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проводятся:</w:t>
      </w:r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proofErr w:type="gramStart"/>
      <w:r>
        <w:rPr>
          <w:w w:val="105"/>
          <w:sz w:val="28"/>
          <w:szCs w:val="28"/>
          <w:lang w:val="ru-RU"/>
        </w:rPr>
        <w:t xml:space="preserve">а) анализ выявленных  нарушений  антимонопольного  законодательства в деятельности управления за предыдущие 3 года  (наличие предостережений, предупреждений, штрафов, жалоб, </w:t>
      </w:r>
      <w:proofErr w:type="spellStart"/>
      <w:r>
        <w:rPr>
          <w:w w:val="105"/>
          <w:sz w:val="28"/>
          <w:szCs w:val="28"/>
          <w:lang w:val="ru-RU"/>
        </w:rPr>
        <w:t>возбужденных</w:t>
      </w:r>
      <w:proofErr w:type="spellEnd"/>
      <w:r>
        <w:rPr>
          <w:spacing w:val="30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дел);</w:t>
      </w:r>
      <w:proofErr w:type="gramEnd"/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б) анализ правовых актов управления;</w:t>
      </w:r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в) анализ проектов правовых актов управления;</w:t>
      </w:r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г) мониторинг и анализ практики применения управлением антимонопольного законодательства;</w:t>
      </w:r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д) проведение систематической  оценки  эффективности  разработанных и реализуемых мероприятий по снижению рисков нарушения антимонопольного</w:t>
      </w:r>
      <w:r>
        <w:rPr>
          <w:spacing w:val="-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законодательства.</w:t>
      </w:r>
    </w:p>
    <w:p w:rsidR="002610B7" w:rsidRDefault="005159EA">
      <w:pPr>
        <w:pStyle w:val="a6"/>
        <w:spacing w:line="276" w:lineRule="auto"/>
        <w:jc w:val="both"/>
        <w:rPr>
          <w:sz w:val="28"/>
          <w:szCs w:val="28"/>
          <w:lang w:val="ru-RU"/>
        </w:rPr>
      </w:pPr>
      <w:r>
        <w:rPr>
          <w:bCs/>
          <w:w w:val="105"/>
          <w:sz w:val="28"/>
          <w:szCs w:val="28"/>
          <w:lang w:val="ru-RU"/>
        </w:rPr>
        <w:t xml:space="preserve">       По</w:t>
      </w:r>
      <w:r>
        <w:rPr>
          <w:b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 xml:space="preserve">результатам </w:t>
      </w:r>
      <w:proofErr w:type="gramStart"/>
      <w:r>
        <w:rPr>
          <w:w w:val="105"/>
          <w:sz w:val="28"/>
          <w:szCs w:val="28"/>
          <w:lang w:val="ru-RU"/>
        </w:rPr>
        <w:t xml:space="preserve">анализа нормативных правовых актов управления сельского хозяйства </w:t>
      </w:r>
      <w:r>
        <w:rPr>
          <w:bCs/>
          <w:w w:val="105"/>
          <w:sz w:val="28"/>
          <w:szCs w:val="28"/>
          <w:lang w:val="ru-RU"/>
        </w:rPr>
        <w:t>администрации</w:t>
      </w:r>
      <w:proofErr w:type="gramEnd"/>
      <w:r>
        <w:rPr>
          <w:bCs/>
          <w:w w:val="105"/>
          <w:sz w:val="28"/>
          <w:szCs w:val="28"/>
          <w:lang w:val="ru-RU"/>
        </w:rPr>
        <w:t xml:space="preserve"> Богородского муниципального округа</w:t>
      </w:r>
      <w:r>
        <w:rPr>
          <w:b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 xml:space="preserve"> Нижегородской  области за 202</w:t>
      </w:r>
      <w:r w:rsidR="00F01DD8">
        <w:rPr>
          <w:w w:val="105"/>
          <w:sz w:val="28"/>
          <w:szCs w:val="28"/>
          <w:lang w:val="ru-RU"/>
        </w:rPr>
        <w:t>5</w:t>
      </w:r>
      <w:r>
        <w:rPr>
          <w:w w:val="105"/>
          <w:sz w:val="28"/>
          <w:szCs w:val="28"/>
          <w:lang w:val="ru-RU"/>
        </w:rPr>
        <w:t xml:space="preserve"> год нарушений антимонопольного законодательства не</w:t>
      </w:r>
      <w:r>
        <w:rPr>
          <w:spacing w:val="12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выявлено.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 Предостережения, предупреждения от антимонопольных  органов  в адрес управления сельского хозяйства администрации Богородского муниципального округа  Нижегородской  области не выносились.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Жалобы на выявленные нарушения антимонопольного законодательства в деятельности управления сельского хозяйства администрации Богородского муниципального округа  Нижегородской  области управления сельского хозяйства администрации Богородского муниципального округа  Нижегородской  области отсутствуют.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 Дела по признакам нарушения антимонопольного законодательства не возбуждались.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2.1. За </w:t>
      </w:r>
      <w:proofErr w:type="spellStart"/>
      <w:r>
        <w:rPr>
          <w:w w:val="105"/>
          <w:sz w:val="28"/>
          <w:szCs w:val="28"/>
          <w:lang w:val="ru-RU"/>
        </w:rPr>
        <w:t>отчетный</w:t>
      </w:r>
      <w:proofErr w:type="spellEnd"/>
      <w:r>
        <w:rPr>
          <w:w w:val="105"/>
          <w:sz w:val="28"/>
          <w:szCs w:val="28"/>
          <w:lang w:val="ru-RU"/>
        </w:rPr>
        <w:t xml:space="preserve"> период на сайте администрации Богородского муниципального округа «Антикоррупционная экспертиза и общественное обсуждение» было размещено </w:t>
      </w:r>
      <w:r w:rsidR="00242DBD">
        <w:rPr>
          <w:w w:val="105"/>
          <w:sz w:val="28"/>
          <w:szCs w:val="28"/>
          <w:lang w:val="ru-RU"/>
        </w:rPr>
        <w:t>20</w:t>
      </w:r>
      <w:bookmarkStart w:id="3" w:name="_GoBack"/>
      <w:bookmarkEnd w:id="3"/>
      <w:r>
        <w:rPr>
          <w:w w:val="105"/>
          <w:sz w:val="28"/>
          <w:szCs w:val="28"/>
          <w:lang w:val="ru-RU"/>
        </w:rPr>
        <w:t xml:space="preserve"> проектов нормативных правовых актов. По </w:t>
      </w:r>
      <w:proofErr w:type="spellStart"/>
      <w:r>
        <w:rPr>
          <w:w w:val="105"/>
          <w:sz w:val="28"/>
          <w:szCs w:val="28"/>
          <w:lang w:val="ru-RU"/>
        </w:rPr>
        <w:t>размещенным</w:t>
      </w:r>
      <w:proofErr w:type="spellEnd"/>
      <w:r>
        <w:rPr>
          <w:w w:val="105"/>
          <w:sz w:val="28"/>
          <w:szCs w:val="28"/>
          <w:lang w:val="ru-RU"/>
        </w:rPr>
        <w:t xml:space="preserve"> проектам замечаний и предложений не поступало, нарушений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антимонопольного законодательства не выявлено.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2.2. Замечания и предложения со стороны граждан на  нормативные правовые акты министерства в </w:t>
      </w:r>
      <w:proofErr w:type="spellStart"/>
      <w:r>
        <w:rPr>
          <w:w w:val="105"/>
          <w:sz w:val="28"/>
          <w:szCs w:val="28"/>
          <w:lang w:val="ru-RU"/>
        </w:rPr>
        <w:t>отчетный</w:t>
      </w:r>
      <w:proofErr w:type="spellEnd"/>
      <w:r>
        <w:rPr>
          <w:w w:val="105"/>
          <w:sz w:val="28"/>
          <w:szCs w:val="28"/>
          <w:lang w:val="ru-RU"/>
        </w:rPr>
        <w:t xml:space="preserve"> период не поступали.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2.3. Карта </w:t>
      </w:r>
      <w:proofErr w:type="spellStart"/>
      <w:r>
        <w:rPr>
          <w:w w:val="105"/>
          <w:sz w:val="28"/>
          <w:szCs w:val="28"/>
          <w:lang w:val="ru-RU"/>
        </w:rPr>
        <w:t>комплаенс</w:t>
      </w:r>
      <w:proofErr w:type="spellEnd"/>
      <w:r>
        <w:rPr>
          <w:w w:val="105"/>
          <w:sz w:val="28"/>
          <w:szCs w:val="28"/>
          <w:lang w:val="ru-RU"/>
        </w:rPr>
        <w:t xml:space="preserve"> - рисков управления  определена  приказом от </w:t>
      </w:r>
      <w:r w:rsidR="00F01DD8">
        <w:rPr>
          <w:w w:val="105"/>
          <w:sz w:val="28"/>
          <w:szCs w:val="28"/>
          <w:lang w:val="ru-RU"/>
        </w:rPr>
        <w:t>28.12.2024 №</w:t>
      </w:r>
      <w:r w:rsidR="00F01DD8">
        <w:rPr>
          <w:spacing w:val="-2"/>
          <w:w w:val="105"/>
          <w:sz w:val="28"/>
          <w:szCs w:val="28"/>
          <w:lang w:val="ru-RU"/>
        </w:rPr>
        <w:t xml:space="preserve"> 54</w:t>
      </w:r>
      <w:r>
        <w:rPr>
          <w:w w:val="105"/>
          <w:sz w:val="28"/>
          <w:szCs w:val="28"/>
          <w:lang w:val="ru-RU"/>
        </w:rPr>
        <w:t xml:space="preserve"> и включает в себя: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 Подготовка ответов на обращения граждан и юридических лиц с нарушением срока, предусмотренного законодательством;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 Нарушения при осуществлении закупок товаров, работ, услуг для обеспечения муниципальных нужд.</w:t>
      </w:r>
    </w:p>
    <w:p w:rsidR="002610B7" w:rsidRDefault="005159EA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lastRenderedPageBreak/>
        <w:t xml:space="preserve">       В процессе анализа практики применения антимонопольного законодательства в сфере деятельности управления </w:t>
      </w:r>
      <w:proofErr w:type="spellStart"/>
      <w:r>
        <w:rPr>
          <w:w w:val="105"/>
          <w:sz w:val="28"/>
          <w:szCs w:val="28"/>
          <w:lang w:val="ru-RU"/>
        </w:rPr>
        <w:t>комплаенс</w:t>
      </w:r>
      <w:proofErr w:type="spellEnd"/>
      <w:r>
        <w:rPr>
          <w:w w:val="105"/>
          <w:sz w:val="28"/>
          <w:szCs w:val="28"/>
          <w:lang w:val="ru-RU"/>
        </w:rPr>
        <w:t>-риски не выявлены.</w:t>
      </w:r>
    </w:p>
    <w:p w:rsidR="002610B7" w:rsidRDefault="002610B7">
      <w:pPr>
        <w:pStyle w:val="a6"/>
        <w:spacing w:line="276" w:lineRule="auto"/>
        <w:jc w:val="both"/>
        <w:rPr>
          <w:w w:val="105"/>
          <w:sz w:val="28"/>
          <w:szCs w:val="28"/>
          <w:lang w:val="ru-RU"/>
        </w:rPr>
      </w:pPr>
    </w:p>
    <w:p w:rsidR="002610B7" w:rsidRDefault="005159EA">
      <w:pPr>
        <w:pStyle w:val="a6"/>
        <w:jc w:val="center"/>
        <w:rPr>
          <w:b/>
          <w:w w:val="105"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Раздел 3. Сведения об исполнении мероприятий по снижению</w:t>
      </w:r>
    </w:p>
    <w:p w:rsidR="002610B7" w:rsidRDefault="005159EA">
      <w:pPr>
        <w:pStyle w:val="a6"/>
        <w:jc w:val="center"/>
        <w:rPr>
          <w:b/>
          <w:w w:val="105"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рисков нарушения министерством антимонопольного законодательства</w:t>
      </w:r>
    </w:p>
    <w:p w:rsidR="002610B7" w:rsidRDefault="002610B7">
      <w:pPr>
        <w:pStyle w:val="1"/>
        <w:spacing w:line="372" w:lineRule="auto"/>
        <w:ind w:left="2900"/>
        <w:jc w:val="center"/>
        <w:rPr>
          <w:b w:val="0"/>
          <w:bCs w:val="0"/>
          <w:w w:val="105"/>
          <w:sz w:val="28"/>
          <w:szCs w:val="28"/>
          <w:lang w:val="ru-RU"/>
        </w:rPr>
      </w:pPr>
    </w:p>
    <w:p w:rsidR="002610B7" w:rsidRDefault="005159EA">
      <w:pPr>
        <w:pStyle w:val="a3"/>
        <w:spacing w:line="276" w:lineRule="auto"/>
        <w:ind w:left="202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План мероприятий по снижению рисков нарушения антимонопольного законодательства </w:t>
      </w:r>
      <w:proofErr w:type="spellStart"/>
      <w:r>
        <w:rPr>
          <w:w w:val="105"/>
          <w:sz w:val="28"/>
          <w:szCs w:val="28"/>
          <w:lang w:val="ru-RU"/>
        </w:rPr>
        <w:t>утвержден</w:t>
      </w:r>
      <w:proofErr w:type="spellEnd"/>
      <w:r>
        <w:rPr>
          <w:w w:val="105"/>
          <w:sz w:val="28"/>
          <w:szCs w:val="28"/>
          <w:lang w:val="ru-RU"/>
        </w:rPr>
        <w:t xml:space="preserve"> приказом управления от </w:t>
      </w:r>
      <w:r w:rsidR="00F01DD8">
        <w:rPr>
          <w:w w:val="105"/>
          <w:sz w:val="28"/>
          <w:szCs w:val="28"/>
          <w:lang w:val="ru-RU"/>
        </w:rPr>
        <w:t>28.12.2024 №</w:t>
      </w:r>
      <w:r w:rsidR="00F01DD8">
        <w:rPr>
          <w:spacing w:val="-2"/>
          <w:w w:val="105"/>
          <w:sz w:val="28"/>
          <w:szCs w:val="28"/>
          <w:lang w:val="ru-RU"/>
        </w:rPr>
        <w:t xml:space="preserve"> 54</w:t>
      </w:r>
      <w:r>
        <w:rPr>
          <w:w w:val="105"/>
          <w:sz w:val="28"/>
          <w:szCs w:val="28"/>
          <w:lang w:val="ru-RU"/>
        </w:rPr>
        <w:t>.</w:t>
      </w:r>
    </w:p>
    <w:p w:rsidR="002610B7" w:rsidRDefault="005159EA">
      <w:pPr>
        <w:pStyle w:val="a3"/>
        <w:spacing w:before="202" w:line="276" w:lineRule="auto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</w:t>
      </w:r>
      <w:proofErr w:type="spellStart"/>
      <w:r>
        <w:rPr>
          <w:w w:val="105"/>
          <w:sz w:val="28"/>
          <w:szCs w:val="28"/>
          <w:lang w:val="ru-RU"/>
        </w:rPr>
        <w:t>Комплаенс</w:t>
      </w:r>
      <w:proofErr w:type="spellEnd"/>
      <w:r>
        <w:rPr>
          <w:w w:val="105"/>
          <w:sz w:val="28"/>
          <w:szCs w:val="28"/>
          <w:lang w:val="ru-RU"/>
        </w:rPr>
        <w:t>-риски не возникали.</w:t>
      </w:r>
    </w:p>
    <w:p w:rsidR="002610B7" w:rsidRDefault="002610B7">
      <w:pPr>
        <w:pStyle w:val="a3"/>
        <w:spacing w:before="10"/>
        <w:rPr>
          <w:w w:val="105"/>
          <w:sz w:val="28"/>
          <w:szCs w:val="28"/>
          <w:lang w:val="ru-RU"/>
        </w:rPr>
      </w:pPr>
    </w:p>
    <w:p w:rsidR="002610B7" w:rsidRDefault="005159EA">
      <w:pPr>
        <w:pStyle w:val="a6"/>
        <w:jc w:val="center"/>
        <w:rPr>
          <w:b/>
          <w:w w:val="105"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 xml:space="preserve">Раздел 4. О достижении ключевых показателей эффективности </w:t>
      </w:r>
      <w:proofErr w:type="gramStart"/>
      <w:r>
        <w:rPr>
          <w:b/>
          <w:w w:val="105"/>
          <w:sz w:val="28"/>
          <w:szCs w:val="28"/>
          <w:lang w:val="ru-RU"/>
        </w:rPr>
        <w:t>антимонопольного</w:t>
      </w:r>
      <w:proofErr w:type="gramEnd"/>
      <w:r>
        <w:rPr>
          <w:b/>
          <w:w w:val="105"/>
          <w:sz w:val="28"/>
          <w:szCs w:val="28"/>
          <w:lang w:val="ru-RU"/>
        </w:rPr>
        <w:t xml:space="preserve"> </w:t>
      </w:r>
      <w:proofErr w:type="spellStart"/>
      <w:r>
        <w:rPr>
          <w:b/>
          <w:w w:val="105"/>
          <w:sz w:val="28"/>
          <w:szCs w:val="28"/>
          <w:lang w:val="ru-RU"/>
        </w:rPr>
        <w:t>комплаенса</w:t>
      </w:r>
      <w:proofErr w:type="spellEnd"/>
    </w:p>
    <w:p w:rsidR="002610B7" w:rsidRDefault="005159EA">
      <w:pPr>
        <w:pStyle w:val="a3"/>
        <w:spacing w:before="205" w:line="276" w:lineRule="auto"/>
        <w:ind w:left="224" w:firstLine="688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В целях оценки эффективности функционирования антимонопольного </w:t>
      </w:r>
      <w:proofErr w:type="spellStart"/>
      <w:r>
        <w:rPr>
          <w:w w:val="105"/>
          <w:sz w:val="28"/>
          <w:szCs w:val="28"/>
          <w:lang w:val="ru-RU"/>
        </w:rPr>
        <w:t>комплаенса</w:t>
      </w:r>
      <w:proofErr w:type="spellEnd"/>
      <w:r>
        <w:rPr>
          <w:w w:val="105"/>
          <w:sz w:val="28"/>
          <w:szCs w:val="28"/>
          <w:lang w:val="ru-RU"/>
        </w:rPr>
        <w:t xml:space="preserve"> установлены ключевые показатели и их целевые значения:</w:t>
      </w:r>
    </w:p>
    <w:p w:rsidR="002610B7" w:rsidRDefault="002610B7">
      <w:pPr>
        <w:pStyle w:val="a3"/>
        <w:rPr>
          <w:sz w:val="16"/>
          <w:lang w:val="ru-RU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9"/>
        <w:gridCol w:w="2433"/>
        <w:gridCol w:w="2096"/>
      </w:tblGrid>
      <w:tr w:rsidR="002610B7">
        <w:trPr>
          <w:trHeight w:val="489"/>
        </w:trPr>
        <w:tc>
          <w:tcPr>
            <w:tcW w:w="5039" w:type="dxa"/>
          </w:tcPr>
          <w:p w:rsidR="002610B7" w:rsidRDefault="005159EA">
            <w:pPr>
              <w:pStyle w:val="TableParagraph"/>
              <w:spacing w:before="28"/>
              <w:ind w:left="1307"/>
              <w:rPr>
                <w:sz w:val="26"/>
              </w:rPr>
            </w:pPr>
            <w:proofErr w:type="spellStart"/>
            <w:r>
              <w:rPr>
                <w:w w:val="105"/>
                <w:sz w:val="26"/>
              </w:rPr>
              <w:t>Наименование</w:t>
            </w:r>
            <w:proofErr w:type="spellEnd"/>
            <w:r>
              <w:rPr>
                <w:w w:val="105"/>
                <w:sz w:val="26"/>
              </w:rPr>
              <w:t xml:space="preserve"> КЭП</w:t>
            </w:r>
          </w:p>
        </w:tc>
        <w:tc>
          <w:tcPr>
            <w:tcW w:w="2433" w:type="dxa"/>
          </w:tcPr>
          <w:p w:rsidR="002610B7" w:rsidRDefault="005159EA">
            <w:pPr>
              <w:pStyle w:val="TableParagraph"/>
              <w:spacing w:before="24"/>
              <w:ind w:left="113" w:right="109"/>
              <w:jc w:val="center"/>
              <w:rPr>
                <w:sz w:val="26"/>
              </w:rPr>
            </w:pPr>
            <w:proofErr w:type="spellStart"/>
            <w:r>
              <w:rPr>
                <w:w w:val="110"/>
                <w:sz w:val="26"/>
              </w:rPr>
              <w:t>Значение</w:t>
            </w:r>
            <w:proofErr w:type="spellEnd"/>
            <w:r>
              <w:rPr>
                <w:w w:val="110"/>
                <w:sz w:val="26"/>
              </w:rPr>
              <w:t xml:space="preserve"> КЭП, %</w:t>
            </w:r>
          </w:p>
        </w:tc>
        <w:tc>
          <w:tcPr>
            <w:tcW w:w="2096" w:type="dxa"/>
          </w:tcPr>
          <w:p w:rsidR="002610B7" w:rsidRDefault="005159EA">
            <w:pPr>
              <w:pStyle w:val="TableParagraph"/>
              <w:spacing w:before="19"/>
              <w:ind w:left="197" w:right="211"/>
              <w:jc w:val="center"/>
              <w:rPr>
                <w:sz w:val="26"/>
              </w:rPr>
            </w:pPr>
            <w:proofErr w:type="spellStart"/>
            <w:r>
              <w:rPr>
                <w:w w:val="105"/>
                <w:sz w:val="26"/>
              </w:rPr>
              <w:t>Примечание</w:t>
            </w:r>
            <w:proofErr w:type="spellEnd"/>
          </w:p>
        </w:tc>
      </w:tr>
      <w:tr w:rsidR="002610B7" w:rsidRPr="00242DBD">
        <w:trPr>
          <w:trHeight w:val="353"/>
        </w:trPr>
        <w:tc>
          <w:tcPr>
            <w:tcW w:w="5039" w:type="dxa"/>
            <w:tcBorders>
              <w:bottom w:val="nil"/>
            </w:tcBorders>
          </w:tcPr>
          <w:p w:rsidR="002610B7" w:rsidRDefault="005159EA">
            <w:pPr>
              <w:pStyle w:val="TableParagraph"/>
              <w:tabs>
                <w:tab w:val="left" w:pos="3769"/>
              </w:tabs>
              <w:spacing w:before="28"/>
              <w:rPr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 xml:space="preserve">    </w:t>
            </w:r>
            <w:proofErr w:type="spellStart"/>
            <w:r>
              <w:rPr>
                <w:w w:val="105"/>
                <w:sz w:val="26"/>
              </w:rPr>
              <w:t>Коэффициент</w:t>
            </w:r>
            <w:proofErr w:type="spellEnd"/>
            <w:r>
              <w:rPr>
                <w:w w:val="105"/>
                <w:sz w:val="26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снижения</w:t>
            </w:r>
            <w:proofErr w:type="spellEnd"/>
            <w:r>
              <w:rPr>
                <w:w w:val="105"/>
                <w:sz w:val="26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количества</w:t>
            </w:r>
            <w:proofErr w:type="spellEnd"/>
          </w:p>
        </w:tc>
        <w:tc>
          <w:tcPr>
            <w:tcW w:w="2433" w:type="dxa"/>
            <w:tcBorders>
              <w:bottom w:val="nil"/>
            </w:tcBorders>
          </w:tcPr>
          <w:p w:rsidR="002610B7" w:rsidRDefault="005159EA">
            <w:pPr>
              <w:pStyle w:val="TableParagraph"/>
              <w:spacing w:line="334" w:lineRule="exact"/>
              <w:ind w:right="2"/>
              <w:jc w:val="center"/>
              <w:rPr>
                <w:sz w:val="39"/>
              </w:rPr>
            </w:pPr>
            <w:r>
              <w:rPr>
                <w:w w:val="69"/>
                <w:sz w:val="39"/>
              </w:rPr>
              <w:t>о</w:t>
            </w:r>
          </w:p>
        </w:tc>
        <w:tc>
          <w:tcPr>
            <w:tcW w:w="2096" w:type="dxa"/>
            <w:vMerge w:val="restart"/>
          </w:tcPr>
          <w:p w:rsidR="002610B7" w:rsidRDefault="005159EA">
            <w:pPr>
              <w:pStyle w:val="TableParagraph"/>
              <w:spacing w:before="12" w:line="249" w:lineRule="auto"/>
              <w:ind w:left="224" w:right="211"/>
              <w:jc w:val="center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в предыдущем году предписания не выдавались</w:t>
            </w:r>
          </w:p>
        </w:tc>
      </w:tr>
      <w:tr w:rsidR="002610B7">
        <w:trPr>
          <w:trHeight w:val="302"/>
        </w:trPr>
        <w:tc>
          <w:tcPr>
            <w:tcW w:w="5039" w:type="dxa"/>
            <w:tcBorders>
              <w:top w:val="nil"/>
              <w:bottom w:val="nil"/>
            </w:tcBorders>
          </w:tcPr>
          <w:p w:rsidR="002610B7" w:rsidRDefault="005159EA">
            <w:pPr>
              <w:pStyle w:val="TableParagraph"/>
              <w:tabs>
                <w:tab w:val="left" w:pos="3383"/>
              </w:tabs>
              <w:spacing w:line="283" w:lineRule="exact"/>
              <w:rPr>
                <w:sz w:val="26"/>
              </w:rPr>
            </w:pPr>
            <w:proofErr w:type="spellStart"/>
            <w:r>
              <w:rPr>
                <w:w w:val="105"/>
                <w:sz w:val="26"/>
              </w:rPr>
              <w:t>предписаний</w:t>
            </w:r>
            <w:proofErr w:type="spellEnd"/>
            <w:r>
              <w:rPr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антимонопольного</w:t>
            </w:r>
            <w:proofErr w:type="spellEnd"/>
            <w:r>
              <w:rPr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органа</w:t>
            </w:r>
            <w:proofErr w:type="spellEnd"/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2610B7" w:rsidRDefault="002610B7">
            <w:pPr>
              <w:pStyle w:val="TableParagraph"/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2610B7" w:rsidRDefault="002610B7">
            <w:pPr>
              <w:jc w:val="center"/>
              <w:rPr>
                <w:sz w:val="2"/>
                <w:szCs w:val="2"/>
              </w:rPr>
            </w:pPr>
          </w:p>
        </w:tc>
      </w:tr>
      <w:tr w:rsidR="002610B7" w:rsidRPr="00242DBD">
        <w:trPr>
          <w:trHeight w:val="314"/>
        </w:trPr>
        <w:tc>
          <w:tcPr>
            <w:tcW w:w="5039" w:type="dxa"/>
            <w:tcBorders>
              <w:top w:val="nil"/>
              <w:bottom w:val="nil"/>
            </w:tcBorders>
          </w:tcPr>
          <w:p w:rsidR="002610B7" w:rsidRDefault="005159EA">
            <w:pPr>
              <w:pStyle w:val="TableParagraph"/>
              <w:tabs>
                <w:tab w:val="left" w:pos="3115"/>
                <w:tab w:val="left" w:pos="4654"/>
              </w:tabs>
              <w:spacing w:before="6" w:line="289" w:lineRule="exact"/>
              <w:rPr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 xml:space="preserve">об устранении нарушений антимонопольного законодательства </w:t>
            </w:r>
            <w:proofErr w:type="gramStart"/>
            <w:r w:rsidRPr="00DD0D5C">
              <w:rPr>
                <w:rFonts w:ascii="Arial" w:hAnsi="Arial"/>
                <w:bCs/>
                <w:w w:val="105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2610B7" w:rsidRDefault="002610B7">
            <w:pPr>
              <w:pStyle w:val="TableParagraph"/>
              <w:rPr>
                <w:lang w:val="ru-RU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2610B7" w:rsidRDefault="002610B7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2610B7">
        <w:trPr>
          <w:trHeight w:val="316"/>
        </w:trPr>
        <w:tc>
          <w:tcPr>
            <w:tcW w:w="5039" w:type="dxa"/>
            <w:tcBorders>
              <w:top w:val="nil"/>
              <w:bottom w:val="nil"/>
            </w:tcBorders>
          </w:tcPr>
          <w:p w:rsidR="002610B7" w:rsidRPr="00DD0D5C" w:rsidRDefault="005159EA" w:rsidP="00DD0D5C">
            <w:pPr>
              <w:pStyle w:val="TableParagraph"/>
              <w:tabs>
                <w:tab w:val="left" w:pos="3599"/>
              </w:tabs>
              <w:spacing w:before="3" w:line="293" w:lineRule="exact"/>
              <w:rPr>
                <w:w w:val="105"/>
                <w:sz w:val="26"/>
                <w:lang w:val="ru-RU"/>
              </w:rPr>
            </w:pPr>
            <w:proofErr w:type="spellStart"/>
            <w:r>
              <w:rPr>
                <w:w w:val="105"/>
                <w:sz w:val="26"/>
              </w:rPr>
              <w:t>отношении</w:t>
            </w:r>
            <w:proofErr w:type="spellEnd"/>
            <w:r>
              <w:rPr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  <w:lang w:val="ru-RU"/>
              </w:rPr>
              <w:t>управления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2610B7" w:rsidRDefault="002610B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2610B7" w:rsidRDefault="002610B7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2610B7">
        <w:trPr>
          <w:trHeight w:val="329"/>
        </w:trPr>
        <w:tc>
          <w:tcPr>
            <w:tcW w:w="5039" w:type="dxa"/>
            <w:vMerge w:val="restart"/>
            <w:tcBorders>
              <w:bottom w:val="nil"/>
            </w:tcBorders>
          </w:tcPr>
          <w:p w:rsidR="002610B7" w:rsidRDefault="005159EA">
            <w:pPr>
              <w:pStyle w:val="TableParagraph"/>
              <w:tabs>
                <w:tab w:val="left" w:pos="3774"/>
              </w:tabs>
              <w:spacing w:before="24"/>
              <w:jc w:val="center"/>
              <w:rPr>
                <w:sz w:val="26"/>
              </w:rPr>
            </w:pPr>
            <w:proofErr w:type="spellStart"/>
            <w:r>
              <w:rPr>
                <w:w w:val="105"/>
                <w:sz w:val="26"/>
              </w:rPr>
              <w:t>Коэффициент</w:t>
            </w:r>
            <w:proofErr w:type="spellEnd"/>
            <w:r>
              <w:rPr>
                <w:w w:val="105"/>
                <w:sz w:val="26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снижения</w:t>
            </w:r>
            <w:proofErr w:type="spellEnd"/>
            <w:r>
              <w:rPr>
                <w:w w:val="105"/>
                <w:sz w:val="26"/>
                <w:lang w:val="ru-RU"/>
              </w:rPr>
              <w:t xml:space="preserve"> нормативных</w:t>
            </w:r>
          </w:p>
        </w:tc>
        <w:tc>
          <w:tcPr>
            <w:tcW w:w="2433" w:type="dxa"/>
            <w:vMerge w:val="restart"/>
            <w:tcBorders>
              <w:bottom w:val="nil"/>
            </w:tcBorders>
          </w:tcPr>
          <w:p w:rsidR="002610B7" w:rsidRDefault="005159EA">
            <w:pPr>
              <w:pStyle w:val="TableParagraph"/>
              <w:spacing w:line="334" w:lineRule="exact"/>
              <w:ind w:left="5"/>
              <w:jc w:val="center"/>
              <w:rPr>
                <w:sz w:val="39"/>
              </w:rPr>
            </w:pPr>
            <w:r>
              <w:rPr>
                <w:w w:val="69"/>
                <w:sz w:val="39"/>
              </w:rPr>
              <w:t>о</w:t>
            </w:r>
          </w:p>
        </w:tc>
        <w:tc>
          <w:tcPr>
            <w:tcW w:w="2096" w:type="dxa"/>
            <w:tcBorders>
              <w:bottom w:val="nil"/>
            </w:tcBorders>
          </w:tcPr>
          <w:p w:rsidR="002610B7" w:rsidRDefault="005159EA">
            <w:pPr>
              <w:pStyle w:val="TableParagraph"/>
              <w:spacing w:before="12"/>
              <w:ind w:left="233" w:right="20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в </w:t>
            </w:r>
            <w:proofErr w:type="spellStart"/>
            <w:r>
              <w:rPr>
                <w:sz w:val="19"/>
              </w:rPr>
              <w:t>предыдущем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году</w:t>
            </w:r>
            <w:proofErr w:type="spellEnd"/>
          </w:p>
        </w:tc>
      </w:tr>
      <w:tr w:rsidR="002610B7">
        <w:trPr>
          <w:trHeight w:val="24"/>
        </w:trPr>
        <w:tc>
          <w:tcPr>
            <w:tcW w:w="5039" w:type="dxa"/>
            <w:vMerge/>
            <w:tcBorders>
              <w:top w:val="nil"/>
              <w:bottom w:val="nil"/>
            </w:tcBorders>
          </w:tcPr>
          <w:p w:rsidR="002610B7" w:rsidRDefault="002610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  <w:bottom w:val="nil"/>
            </w:tcBorders>
          </w:tcPr>
          <w:p w:rsidR="002610B7" w:rsidRDefault="002610B7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 w:val="restart"/>
            <w:tcBorders>
              <w:top w:val="nil"/>
              <w:bottom w:val="nil"/>
              <w:right w:val="nil"/>
            </w:tcBorders>
          </w:tcPr>
          <w:p w:rsidR="002610B7" w:rsidRDefault="005159EA">
            <w:pPr>
              <w:pStyle w:val="TableParagraph"/>
              <w:spacing w:line="137" w:lineRule="exact"/>
              <w:jc w:val="center"/>
              <w:rPr>
                <w:sz w:val="19"/>
                <w:lang w:val="ru-RU"/>
              </w:rPr>
            </w:pPr>
            <w:proofErr w:type="spellStart"/>
            <w:r>
              <w:rPr>
                <w:sz w:val="19"/>
              </w:rPr>
              <w:t>нарушения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не</w:t>
            </w:r>
            <w:proofErr w:type="spellEnd"/>
            <w:r>
              <w:rPr>
                <w:bCs/>
                <w:sz w:val="19"/>
                <w:lang w:val="ru-RU"/>
              </w:rPr>
              <w:t xml:space="preserve">   </w:t>
            </w:r>
            <w:proofErr w:type="spellStart"/>
            <w:r>
              <w:rPr>
                <w:bCs/>
                <w:sz w:val="19"/>
              </w:rPr>
              <w:t>выявлялись</w:t>
            </w:r>
            <w:proofErr w:type="spellEnd"/>
          </w:p>
        </w:tc>
      </w:tr>
      <w:tr w:rsidR="002610B7" w:rsidRPr="00242DBD">
        <w:trPr>
          <w:trHeight w:val="314"/>
        </w:trPr>
        <w:tc>
          <w:tcPr>
            <w:tcW w:w="5039" w:type="dxa"/>
            <w:vMerge w:val="restart"/>
            <w:tcBorders>
              <w:top w:val="nil"/>
              <w:bottom w:val="nil"/>
            </w:tcBorders>
          </w:tcPr>
          <w:p w:rsidR="002610B7" w:rsidRDefault="005159EA">
            <w:pPr>
              <w:pStyle w:val="TableParagraph"/>
              <w:tabs>
                <w:tab w:val="left" w:pos="2441"/>
                <w:tab w:val="left" w:pos="4298"/>
              </w:tabs>
              <w:spacing w:line="291" w:lineRule="exact"/>
              <w:ind w:left="123"/>
              <w:rPr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>правовых актов управления,</w:t>
            </w:r>
            <w:r>
              <w:rPr>
                <w:rFonts w:ascii="Arial" w:hAnsi="Arial"/>
                <w:bCs/>
                <w:w w:val="105"/>
                <w:sz w:val="24"/>
                <w:lang w:val="ru-RU"/>
              </w:rPr>
              <w:t xml:space="preserve"> в</w:t>
            </w:r>
            <w:r>
              <w:rPr>
                <w:rFonts w:ascii="Arial" w:hAnsi="Arial"/>
                <w:b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6"/>
                <w:lang w:val="ru-RU"/>
              </w:rPr>
              <w:t>которых</w:t>
            </w:r>
          </w:p>
          <w:p w:rsidR="002610B7" w:rsidRDefault="005159EA">
            <w:pPr>
              <w:pStyle w:val="TableParagraph"/>
              <w:tabs>
                <w:tab w:val="left" w:pos="2088"/>
                <w:tab w:val="left" w:pos="2498"/>
                <w:tab w:val="left" w:pos="3772"/>
              </w:tabs>
              <w:spacing w:before="27"/>
              <w:ind w:left="123"/>
              <w:rPr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>выявлены риски</w:t>
            </w:r>
            <w:r>
              <w:rPr>
                <w:w w:val="105"/>
                <w:sz w:val="26"/>
                <w:lang w:val="ru-RU"/>
              </w:rPr>
              <w:tab/>
              <w:t>нарушения антимонопольного</w:t>
            </w:r>
            <w:r>
              <w:rPr>
                <w:w w:val="110"/>
                <w:sz w:val="26"/>
                <w:lang w:val="ru-RU"/>
              </w:rPr>
              <w:t xml:space="preserve"> законодательства</w:t>
            </w:r>
          </w:p>
        </w:tc>
        <w:tc>
          <w:tcPr>
            <w:tcW w:w="2433" w:type="dxa"/>
            <w:vMerge w:val="restart"/>
            <w:tcBorders>
              <w:top w:val="nil"/>
              <w:bottom w:val="nil"/>
            </w:tcBorders>
          </w:tcPr>
          <w:p w:rsidR="002610B7" w:rsidRDefault="002610B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6" w:type="dxa"/>
            <w:vMerge/>
            <w:tcBorders>
              <w:top w:val="nil"/>
              <w:bottom w:val="nil"/>
              <w:right w:val="nil"/>
            </w:tcBorders>
          </w:tcPr>
          <w:p w:rsidR="002610B7" w:rsidRDefault="002610B7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2610B7" w:rsidRPr="00242DBD">
        <w:trPr>
          <w:trHeight w:val="481"/>
        </w:trPr>
        <w:tc>
          <w:tcPr>
            <w:tcW w:w="5039" w:type="dxa"/>
            <w:vMerge/>
            <w:tcBorders>
              <w:top w:val="nil"/>
              <w:bottom w:val="nil"/>
            </w:tcBorders>
          </w:tcPr>
          <w:p w:rsidR="002610B7" w:rsidRDefault="002610B7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433" w:type="dxa"/>
            <w:vMerge/>
            <w:tcBorders>
              <w:top w:val="nil"/>
              <w:bottom w:val="nil"/>
            </w:tcBorders>
          </w:tcPr>
          <w:p w:rsidR="002610B7" w:rsidRDefault="002610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6" w:type="dxa"/>
            <w:tcBorders>
              <w:top w:val="nil"/>
              <w:bottom w:val="nil"/>
            </w:tcBorders>
          </w:tcPr>
          <w:p w:rsidR="002610B7" w:rsidRDefault="002610B7">
            <w:pPr>
              <w:pStyle w:val="TableParagraph"/>
              <w:spacing w:line="180" w:lineRule="exact"/>
              <w:ind w:right="211"/>
              <w:jc w:val="center"/>
              <w:rPr>
                <w:bCs/>
                <w:sz w:val="19"/>
                <w:lang w:val="ru-RU"/>
              </w:rPr>
            </w:pPr>
          </w:p>
        </w:tc>
      </w:tr>
      <w:tr w:rsidR="002610B7" w:rsidRPr="00242DBD" w:rsidTr="00DD0D5C">
        <w:trPr>
          <w:trHeight w:val="74"/>
        </w:trPr>
        <w:tc>
          <w:tcPr>
            <w:tcW w:w="5039" w:type="dxa"/>
            <w:tcBorders>
              <w:top w:val="nil"/>
              <w:bottom w:val="nil"/>
            </w:tcBorders>
          </w:tcPr>
          <w:p w:rsidR="002610B7" w:rsidRDefault="002610B7" w:rsidP="00DD0D5C">
            <w:pPr>
              <w:pStyle w:val="TableParagraph"/>
              <w:tabs>
                <w:tab w:val="left" w:pos="1095"/>
                <w:tab w:val="left" w:pos="2692"/>
              </w:tabs>
              <w:spacing w:before="11" w:line="296" w:lineRule="exact"/>
              <w:rPr>
                <w:sz w:val="26"/>
                <w:lang w:val="ru-RU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2610B7" w:rsidRDefault="002610B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6" w:type="dxa"/>
            <w:tcBorders>
              <w:top w:val="nil"/>
              <w:bottom w:val="nil"/>
            </w:tcBorders>
          </w:tcPr>
          <w:p w:rsidR="002610B7" w:rsidRDefault="002610B7" w:rsidP="00DD0D5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610B7" w:rsidRPr="00242DBD" w:rsidTr="00DD0D5C">
        <w:trPr>
          <w:trHeight w:val="1287"/>
        </w:trPr>
        <w:tc>
          <w:tcPr>
            <w:tcW w:w="5039" w:type="dxa"/>
          </w:tcPr>
          <w:p w:rsidR="002610B7" w:rsidRPr="00DD0D5C" w:rsidRDefault="005159EA" w:rsidP="00DD0D5C">
            <w:pPr>
              <w:pStyle w:val="TableParagraph"/>
              <w:tabs>
                <w:tab w:val="left" w:pos="3774"/>
              </w:tabs>
              <w:spacing w:before="24"/>
              <w:rPr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 xml:space="preserve">    Доля </w:t>
            </w:r>
            <w:proofErr w:type="gramStart"/>
            <w:r>
              <w:rPr>
                <w:w w:val="105"/>
                <w:sz w:val="26"/>
                <w:lang w:val="ru-RU"/>
              </w:rPr>
              <w:t>сотрудников</w:t>
            </w:r>
            <w:proofErr w:type="gramEnd"/>
            <w:r>
              <w:rPr>
                <w:w w:val="105"/>
                <w:sz w:val="26"/>
                <w:lang w:val="ru-RU"/>
              </w:rPr>
              <w:t xml:space="preserve">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DD0D5C">
              <w:rPr>
                <w:w w:val="105"/>
                <w:sz w:val="26"/>
                <w:lang w:val="ru-RU"/>
              </w:rPr>
              <w:t>комплаенсу</w:t>
            </w:r>
            <w:proofErr w:type="spellEnd"/>
          </w:p>
        </w:tc>
        <w:tc>
          <w:tcPr>
            <w:tcW w:w="2433" w:type="dxa"/>
          </w:tcPr>
          <w:p w:rsidR="002610B7" w:rsidRDefault="005159EA">
            <w:pPr>
              <w:pStyle w:val="TableParagraph"/>
              <w:spacing w:before="28"/>
              <w:ind w:left="113" w:right="76"/>
              <w:jc w:val="center"/>
              <w:rPr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>20</w:t>
            </w:r>
          </w:p>
        </w:tc>
        <w:tc>
          <w:tcPr>
            <w:tcW w:w="2096" w:type="dxa"/>
          </w:tcPr>
          <w:p w:rsidR="002610B7" w:rsidRDefault="005159EA">
            <w:pPr>
              <w:pStyle w:val="TableParagraph"/>
              <w:spacing w:line="213" w:lineRule="auto"/>
              <w:ind w:left="136" w:right="85" w:hanging="13"/>
              <w:jc w:val="center"/>
              <w:rPr>
                <w:sz w:val="19"/>
                <w:lang w:val="ru-RU"/>
              </w:rPr>
            </w:pPr>
            <w:r>
              <w:rPr>
                <w:rFonts w:ascii="Arial" w:hAnsi="Arial"/>
                <w:sz w:val="23"/>
                <w:lang w:val="ru-RU"/>
              </w:rPr>
              <w:t xml:space="preserve">в </w:t>
            </w:r>
            <w:r>
              <w:rPr>
                <w:sz w:val="19"/>
                <w:lang w:val="ru-RU"/>
              </w:rPr>
              <w:t>текущем году запланировано</w:t>
            </w:r>
          </w:p>
          <w:p w:rsidR="002610B7" w:rsidRDefault="005159EA">
            <w:pPr>
              <w:pStyle w:val="TableParagraph"/>
              <w:spacing w:line="208" w:lineRule="exact"/>
              <w:ind w:left="127"/>
              <w:jc w:val="center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обучающие</w:t>
            </w:r>
          </w:p>
          <w:p w:rsidR="002610B7" w:rsidRDefault="005159EA">
            <w:pPr>
              <w:pStyle w:val="TableParagraph"/>
              <w:tabs>
                <w:tab w:val="left" w:pos="1941"/>
              </w:tabs>
              <w:spacing w:line="228" w:lineRule="auto"/>
              <w:ind w:left="131" w:right="71" w:firstLine="2"/>
              <w:jc w:val="center"/>
              <w:rPr>
                <w:sz w:val="19"/>
                <w:lang w:val="ru-RU"/>
              </w:rPr>
            </w:pPr>
            <w:r>
              <w:rPr>
                <w:w w:val="95"/>
                <w:sz w:val="19"/>
                <w:lang w:val="ru-RU"/>
              </w:rPr>
              <w:t xml:space="preserve">мероприятия </w:t>
            </w:r>
            <w:r>
              <w:rPr>
                <w:w w:val="85"/>
                <w:sz w:val="19"/>
                <w:lang w:val="ru-RU"/>
              </w:rPr>
              <w:t xml:space="preserve">в </w:t>
            </w:r>
            <w:r>
              <w:rPr>
                <w:w w:val="95"/>
                <w:sz w:val="19"/>
                <w:lang w:val="ru-RU"/>
              </w:rPr>
              <w:t>отношении не менее 2 сотрудников</w:t>
            </w:r>
          </w:p>
        </w:tc>
      </w:tr>
    </w:tbl>
    <w:p w:rsidR="002610B7" w:rsidRDefault="002610B7">
      <w:pPr>
        <w:pStyle w:val="a3"/>
        <w:rPr>
          <w:sz w:val="20"/>
          <w:lang w:val="ru-RU"/>
        </w:rPr>
      </w:pPr>
    </w:p>
    <w:p w:rsidR="002610B7" w:rsidRDefault="002610B7">
      <w:pPr>
        <w:pStyle w:val="a3"/>
        <w:rPr>
          <w:sz w:val="20"/>
          <w:lang w:val="ru-RU"/>
        </w:rPr>
      </w:pPr>
    </w:p>
    <w:p w:rsidR="002610B7" w:rsidRDefault="002610B7">
      <w:pPr>
        <w:pStyle w:val="a3"/>
        <w:rPr>
          <w:sz w:val="20"/>
          <w:lang w:val="ru-RU"/>
        </w:rPr>
      </w:pPr>
    </w:p>
    <w:p w:rsidR="002610B7" w:rsidRDefault="005159EA">
      <w:pPr>
        <w:pStyle w:val="a3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189230</wp:posOffset>
                </wp:positionV>
                <wp:extent cx="2503805" cy="0"/>
                <wp:effectExtent l="0" t="4445" r="0" b="5080"/>
                <wp:wrapTopAndBottom/>
                <wp:docPr id="1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ln w="610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Линия 2" o:spid="_x0000_s1026" o:spt="20" style="position:absolute;left:0pt;margin-left:218.25pt;margin-top:14.9pt;height:0pt;width:197.15pt;mso-position-horizontal-relative:page;mso-wrap-distance-bottom:0pt;mso-wrap-distance-top:0pt;z-index:251659264;mso-width-relative:page;mso-height-relative:page;" filled="f" stroked="t" coordsize="21600,21600" o:gfxdata="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Sah&#10;H9UAAAAJAQAADwAAAAAAAAABACAAAAAiAAAAZHJzL2Rvd25yZXYueG1sUEsBAhQAFAAAAAgAh07i&#10;QEPsDj7sAQAA3wMAAA4AAAAAAAAAAQAgAAAAJAEAAGRycy9lMm9Eb2MueG1sUEsFBgAAAAAGAAYA&#10;WQEAAIIFAAAAAA==&#10;">
                <v:fill on="f" focussize="0,0"/>
                <v:stroke weight="0.48055118110236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 w:rsidR="002610B7">
      <w:pgSz w:w="11910" w:h="16840"/>
      <w:pgMar w:top="1038" w:right="567" w:bottom="278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78"/>
    <w:rsid w:val="001D67BF"/>
    <w:rsid w:val="0020661B"/>
    <w:rsid w:val="00242DBD"/>
    <w:rsid w:val="002610B7"/>
    <w:rsid w:val="00265FDC"/>
    <w:rsid w:val="00362C41"/>
    <w:rsid w:val="00386278"/>
    <w:rsid w:val="004062E4"/>
    <w:rsid w:val="00414799"/>
    <w:rsid w:val="004318C8"/>
    <w:rsid w:val="005159EA"/>
    <w:rsid w:val="005B123B"/>
    <w:rsid w:val="006352E3"/>
    <w:rsid w:val="007F427E"/>
    <w:rsid w:val="008A3DEC"/>
    <w:rsid w:val="008C7BC5"/>
    <w:rsid w:val="00A70078"/>
    <w:rsid w:val="00A80263"/>
    <w:rsid w:val="00B670DD"/>
    <w:rsid w:val="00C4453B"/>
    <w:rsid w:val="00CE48DE"/>
    <w:rsid w:val="00DC5ABA"/>
    <w:rsid w:val="00DD0D5C"/>
    <w:rsid w:val="00DD3BC8"/>
    <w:rsid w:val="00EC0F48"/>
    <w:rsid w:val="00F01DD8"/>
    <w:rsid w:val="00F24CD2"/>
    <w:rsid w:val="6668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1">
    <w:name w:val="heading 1"/>
    <w:basedOn w:val="a"/>
    <w:uiPriority w:val="9"/>
    <w:qFormat/>
    <w:pPr>
      <w:spacing w:before="1"/>
      <w:ind w:left="1280" w:hanging="1702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ind w:left="350" w:hanging="103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6"/>
      <w:szCs w:val="26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02" w:firstLine="69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1">
    <w:name w:val="heading 1"/>
    <w:basedOn w:val="a"/>
    <w:uiPriority w:val="9"/>
    <w:qFormat/>
    <w:pPr>
      <w:spacing w:before="1"/>
      <w:ind w:left="1280" w:hanging="1702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ind w:left="350" w:hanging="103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6"/>
      <w:szCs w:val="26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02" w:firstLine="69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578E2-DC46-463C-A4DD-4E7E3C57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сельского хозяйства администрации Богород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Администратор</cp:lastModifiedBy>
  <cp:revision>16</cp:revision>
  <cp:lastPrinted>2023-02-10T12:41:00Z</cp:lastPrinted>
  <dcterms:created xsi:type="dcterms:W3CDTF">2021-04-01T12:38:00Z</dcterms:created>
  <dcterms:modified xsi:type="dcterms:W3CDTF">2026-03-04T06:48:00Z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2021-02-15T00:00:00Z</vt:filetime>
  </property>
  <property fmtid="{D5CDD505-2E9C-101B-9397-08002B2CF9AE}" pid="5" name="KSOProductBuildVer">
    <vt:lpwstr>1049-12.2.0.13306</vt:lpwstr>
  </property>
  <property fmtid="{D5CDD505-2E9C-101B-9397-08002B2CF9AE}" pid="6" name="ICV">
    <vt:lpwstr>31BDFDC7EA524962B9EFDB9D9764B353_13</vt:lpwstr>
  </property>
</Properties>
</file>